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DCE9D" w14:textId="77777777" w:rsidR="002A02EF" w:rsidRDefault="009219C0">
      <w:pPr>
        <w:rPr>
          <w:b/>
          <w:sz w:val="48"/>
          <w:szCs w:val="48"/>
          <w:u w:val="single"/>
        </w:rPr>
      </w:pPr>
      <w:r>
        <w:rPr>
          <w:b/>
          <w:sz w:val="48"/>
          <w:szCs w:val="48"/>
          <w:u w:val="single"/>
        </w:rPr>
        <w:t>Navi (InvestCloud) Quick Action Reports</w:t>
      </w:r>
    </w:p>
    <w:p w14:paraId="4B6C385F" w14:textId="77777777" w:rsidR="002A02EF" w:rsidRDefault="002A02EF">
      <w:pPr>
        <w:rPr>
          <w:sz w:val="28"/>
          <w:szCs w:val="28"/>
        </w:rPr>
      </w:pPr>
    </w:p>
    <w:p w14:paraId="11BB7E77" w14:textId="4E4EB1D5" w:rsidR="002A02EF" w:rsidRDefault="009219C0">
      <w:pPr>
        <w:rPr>
          <w:sz w:val="28"/>
          <w:szCs w:val="28"/>
        </w:rPr>
      </w:pPr>
      <w:r>
        <w:rPr>
          <w:sz w:val="28"/>
          <w:szCs w:val="28"/>
        </w:rPr>
        <w:t xml:space="preserve">There is an excellent report feature in Navi that </w:t>
      </w:r>
      <w:r w:rsidR="00941D69">
        <w:rPr>
          <w:sz w:val="28"/>
          <w:szCs w:val="28"/>
        </w:rPr>
        <w:t>you can u</w:t>
      </w:r>
      <w:r>
        <w:rPr>
          <w:sz w:val="28"/>
          <w:szCs w:val="28"/>
        </w:rPr>
        <w:t xml:space="preserve">se as a guide to </w:t>
      </w:r>
      <w:r w:rsidR="00941D69">
        <w:rPr>
          <w:sz w:val="28"/>
          <w:szCs w:val="28"/>
        </w:rPr>
        <w:t xml:space="preserve">your </w:t>
      </w:r>
      <w:r>
        <w:rPr>
          <w:sz w:val="28"/>
          <w:szCs w:val="28"/>
        </w:rPr>
        <w:t xml:space="preserve">analysis.   It is called Quick </w:t>
      </w:r>
      <w:r w:rsidR="00001B84">
        <w:rPr>
          <w:sz w:val="28"/>
          <w:szCs w:val="28"/>
        </w:rPr>
        <w:t>Actions,</w:t>
      </w:r>
      <w:r>
        <w:rPr>
          <w:sz w:val="28"/>
          <w:szCs w:val="28"/>
        </w:rPr>
        <w:t xml:space="preserve"> and this can be located in the top </w:t>
      </w:r>
      <w:r w:rsidR="00001B84">
        <w:rPr>
          <w:sz w:val="28"/>
          <w:szCs w:val="28"/>
        </w:rPr>
        <w:t>right-hand</w:t>
      </w:r>
      <w:r>
        <w:rPr>
          <w:sz w:val="28"/>
          <w:szCs w:val="28"/>
        </w:rPr>
        <w:t xml:space="preserve"> side of the page.    Note, this is not to be confused with the Client Report Navi Tip.     This icon has multiple uses namely:</w:t>
      </w:r>
    </w:p>
    <w:p w14:paraId="60EF488F" w14:textId="77777777" w:rsidR="002A02EF" w:rsidRDefault="002A02EF"/>
    <w:p w14:paraId="56BF9208" w14:textId="77777777" w:rsidR="002A02EF" w:rsidRDefault="009219C0">
      <w:pPr>
        <w:numPr>
          <w:ilvl w:val="0"/>
          <w:numId w:val="3"/>
        </w:numPr>
        <w:rPr>
          <w:sz w:val="28"/>
          <w:szCs w:val="28"/>
        </w:rPr>
      </w:pPr>
      <w:r>
        <w:rPr>
          <w:sz w:val="28"/>
          <w:szCs w:val="28"/>
        </w:rPr>
        <w:t>It is an excellent tool for verifying the numbers you create.</w:t>
      </w:r>
    </w:p>
    <w:p w14:paraId="0E520EF5" w14:textId="77777777" w:rsidR="002A02EF" w:rsidRDefault="009219C0">
      <w:pPr>
        <w:numPr>
          <w:ilvl w:val="0"/>
          <w:numId w:val="3"/>
        </w:numPr>
        <w:rPr>
          <w:sz w:val="28"/>
          <w:szCs w:val="28"/>
        </w:rPr>
      </w:pPr>
      <w:r>
        <w:rPr>
          <w:sz w:val="28"/>
          <w:szCs w:val="28"/>
        </w:rPr>
        <w:t xml:space="preserve">The reports can be used as part of your presentation.   </w:t>
      </w:r>
    </w:p>
    <w:p w14:paraId="7D147C81" w14:textId="77777777" w:rsidR="002A02EF" w:rsidRDefault="009219C0">
      <w:pPr>
        <w:numPr>
          <w:ilvl w:val="0"/>
          <w:numId w:val="3"/>
        </w:numPr>
        <w:rPr>
          <w:sz w:val="28"/>
          <w:szCs w:val="28"/>
        </w:rPr>
      </w:pPr>
      <w:r>
        <w:rPr>
          <w:sz w:val="28"/>
          <w:szCs w:val="28"/>
        </w:rPr>
        <w:t>There ar</w:t>
      </w:r>
      <w:r>
        <w:rPr>
          <w:sz w:val="28"/>
          <w:szCs w:val="28"/>
        </w:rPr>
        <w:t xml:space="preserve">e many strategies you can create such as displaying the tax credits for your members.    </w:t>
      </w:r>
    </w:p>
    <w:p w14:paraId="15F96736" w14:textId="77777777" w:rsidR="002A02EF" w:rsidRDefault="009219C0">
      <w:pPr>
        <w:numPr>
          <w:ilvl w:val="0"/>
          <w:numId w:val="3"/>
        </w:numPr>
        <w:rPr>
          <w:sz w:val="28"/>
          <w:szCs w:val="28"/>
        </w:rPr>
      </w:pPr>
      <w:r>
        <w:rPr>
          <w:sz w:val="28"/>
          <w:szCs w:val="28"/>
        </w:rPr>
        <w:t xml:space="preserve">The more common reports that you access can be saved under “Favorites”.    </w:t>
      </w:r>
    </w:p>
    <w:p w14:paraId="1BF95052" w14:textId="77777777" w:rsidR="002A02EF" w:rsidRDefault="002A02EF">
      <w:pPr>
        <w:rPr>
          <w:sz w:val="28"/>
          <w:szCs w:val="28"/>
        </w:rPr>
      </w:pPr>
    </w:p>
    <w:p w14:paraId="468B1B20" w14:textId="4BAEDA66" w:rsidR="002A02EF" w:rsidRDefault="00941D69">
      <w:pPr>
        <w:rPr>
          <w:sz w:val="28"/>
          <w:szCs w:val="28"/>
        </w:rPr>
      </w:pPr>
      <w:r>
        <w:rPr>
          <w:sz w:val="28"/>
          <w:szCs w:val="28"/>
        </w:rPr>
        <w:t>You can have your ‘</w:t>
      </w:r>
      <w:r w:rsidR="009219C0">
        <w:rPr>
          <w:sz w:val="28"/>
          <w:szCs w:val="28"/>
        </w:rPr>
        <w:t>Favorite Reports</w:t>
      </w:r>
      <w:proofErr w:type="gramStart"/>
      <w:r>
        <w:rPr>
          <w:sz w:val="28"/>
          <w:szCs w:val="28"/>
        </w:rPr>
        <w:t xml:space="preserve">’ </w:t>
      </w:r>
      <w:r w:rsidR="009219C0">
        <w:rPr>
          <w:sz w:val="28"/>
          <w:szCs w:val="28"/>
        </w:rPr>
        <w:t xml:space="preserve"> that</w:t>
      </w:r>
      <w:proofErr w:type="gramEnd"/>
      <w:r w:rsidR="009219C0">
        <w:rPr>
          <w:sz w:val="28"/>
          <w:szCs w:val="28"/>
        </w:rPr>
        <w:t xml:space="preserve"> </w:t>
      </w:r>
      <w:r>
        <w:rPr>
          <w:sz w:val="28"/>
          <w:szCs w:val="28"/>
        </w:rPr>
        <w:t>you can share.</w:t>
      </w:r>
      <w:r w:rsidR="009219C0">
        <w:rPr>
          <w:sz w:val="28"/>
          <w:szCs w:val="28"/>
        </w:rPr>
        <w:t xml:space="preserve"> When you acces</w:t>
      </w:r>
      <w:r w:rsidR="009219C0">
        <w:rPr>
          <w:sz w:val="28"/>
          <w:szCs w:val="28"/>
        </w:rPr>
        <w:t xml:space="preserve">s the </w:t>
      </w:r>
      <w:r w:rsidR="00001B84">
        <w:rPr>
          <w:sz w:val="28"/>
          <w:szCs w:val="28"/>
        </w:rPr>
        <w:t>reports,</w:t>
      </w:r>
      <w:r w:rsidR="009219C0">
        <w:rPr>
          <w:sz w:val="28"/>
          <w:szCs w:val="28"/>
        </w:rPr>
        <w:t xml:space="preserve"> you will be given the option to Add to Favorites.    Click on “Add To Favorites” for the reports as follows:</w:t>
      </w:r>
    </w:p>
    <w:p w14:paraId="619C8373" w14:textId="77777777" w:rsidR="002A02EF" w:rsidRDefault="002A02EF">
      <w:pPr>
        <w:rPr>
          <w:sz w:val="28"/>
          <w:szCs w:val="28"/>
        </w:rPr>
      </w:pPr>
    </w:p>
    <w:p w14:paraId="4C6BB109" w14:textId="77777777" w:rsidR="002A02EF" w:rsidRDefault="009219C0">
      <w:pPr>
        <w:numPr>
          <w:ilvl w:val="0"/>
          <w:numId w:val="1"/>
        </w:numPr>
        <w:rPr>
          <w:sz w:val="28"/>
          <w:szCs w:val="28"/>
        </w:rPr>
      </w:pPr>
      <w:r>
        <w:rPr>
          <w:sz w:val="28"/>
          <w:szCs w:val="28"/>
        </w:rPr>
        <w:t>Detailed Cash Flow</w:t>
      </w:r>
    </w:p>
    <w:p w14:paraId="5A739370" w14:textId="77777777" w:rsidR="002A02EF" w:rsidRDefault="009219C0">
      <w:pPr>
        <w:numPr>
          <w:ilvl w:val="0"/>
          <w:numId w:val="1"/>
        </w:numPr>
        <w:rPr>
          <w:sz w:val="28"/>
          <w:szCs w:val="28"/>
        </w:rPr>
      </w:pPr>
      <w:r>
        <w:rPr>
          <w:sz w:val="28"/>
          <w:szCs w:val="28"/>
        </w:rPr>
        <w:t>Tax Credits</w:t>
      </w:r>
    </w:p>
    <w:p w14:paraId="1EEC227B" w14:textId="77777777" w:rsidR="002A02EF" w:rsidRDefault="009219C0">
      <w:pPr>
        <w:numPr>
          <w:ilvl w:val="0"/>
          <w:numId w:val="1"/>
        </w:numPr>
        <w:rPr>
          <w:sz w:val="28"/>
          <w:szCs w:val="28"/>
        </w:rPr>
      </w:pPr>
      <w:r>
        <w:rPr>
          <w:sz w:val="28"/>
          <w:szCs w:val="28"/>
        </w:rPr>
        <w:t>Income Tax Details</w:t>
      </w:r>
    </w:p>
    <w:p w14:paraId="63F386A6" w14:textId="77777777" w:rsidR="002A02EF" w:rsidRDefault="009219C0">
      <w:pPr>
        <w:numPr>
          <w:ilvl w:val="0"/>
          <w:numId w:val="1"/>
        </w:numPr>
        <w:rPr>
          <w:sz w:val="28"/>
          <w:szCs w:val="28"/>
        </w:rPr>
      </w:pPr>
      <w:r>
        <w:rPr>
          <w:sz w:val="28"/>
          <w:szCs w:val="28"/>
        </w:rPr>
        <w:t xml:space="preserve">Asset Accumulation and Redemption </w:t>
      </w:r>
    </w:p>
    <w:p w14:paraId="10817077" w14:textId="77777777" w:rsidR="002A02EF" w:rsidRDefault="009219C0">
      <w:pPr>
        <w:numPr>
          <w:ilvl w:val="0"/>
          <w:numId w:val="1"/>
        </w:numPr>
        <w:rPr>
          <w:sz w:val="28"/>
          <w:szCs w:val="28"/>
        </w:rPr>
      </w:pPr>
      <w:r>
        <w:rPr>
          <w:sz w:val="28"/>
          <w:szCs w:val="28"/>
        </w:rPr>
        <w:t>Education Savings Report</w:t>
      </w:r>
    </w:p>
    <w:p w14:paraId="50C436C2" w14:textId="77777777" w:rsidR="002A02EF" w:rsidRDefault="009219C0">
      <w:pPr>
        <w:numPr>
          <w:ilvl w:val="0"/>
          <w:numId w:val="1"/>
        </w:numPr>
        <w:rPr>
          <w:sz w:val="28"/>
          <w:szCs w:val="28"/>
        </w:rPr>
      </w:pPr>
      <w:r>
        <w:rPr>
          <w:sz w:val="28"/>
          <w:szCs w:val="28"/>
        </w:rPr>
        <w:t>Itemized Cash Flow Pr</w:t>
      </w:r>
      <w:r>
        <w:rPr>
          <w:sz w:val="28"/>
          <w:szCs w:val="28"/>
        </w:rPr>
        <w:t>ojection</w:t>
      </w:r>
    </w:p>
    <w:p w14:paraId="12758CCB" w14:textId="77777777" w:rsidR="002A02EF" w:rsidRDefault="009219C0">
      <w:pPr>
        <w:numPr>
          <w:ilvl w:val="0"/>
          <w:numId w:val="1"/>
        </w:numPr>
        <w:rPr>
          <w:sz w:val="28"/>
          <w:szCs w:val="28"/>
        </w:rPr>
      </w:pPr>
      <w:r>
        <w:rPr>
          <w:sz w:val="28"/>
          <w:szCs w:val="28"/>
        </w:rPr>
        <w:t>Liability Schedule</w:t>
      </w:r>
    </w:p>
    <w:p w14:paraId="42A6F2D4" w14:textId="77777777" w:rsidR="002A02EF" w:rsidRDefault="002A02EF">
      <w:pPr>
        <w:rPr>
          <w:sz w:val="28"/>
          <w:szCs w:val="28"/>
        </w:rPr>
      </w:pPr>
    </w:p>
    <w:p w14:paraId="19BE99DE" w14:textId="12D7FEF9" w:rsidR="002A02EF" w:rsidRDefault="009219C0">
      <w:pPr>
        <w:rPr>
          <w:b/>
          <w:sz w:val="28"/>
          <w:szCs w:val="28"/>
        </w:rPr>
      </w:pPr>
      <w:r>
        <w:rPr>
          <w:b/>
          <w:sz w:val="28"/>
          <w:szCs w:val="28"/>
        </w:rPr>
        <w:t xml:space="preserve">To access the </w:t>
      </w:r>
      <w:r w:rsidR="00001B84">
        <w:rPr>
          <w:b/>
          <w:sz w:val="28"/>
          <w:szCs w:val="28"/>
        </w:rPr>
        <w:t>reports,</w:t>
      </w:r>
      <w:r>
        <w:rPr>
          <w:b/>
          <w:sz w:val="28"/>
          <w:szCs w:val="28"/>
        </w:rPr>
        <w:t xml:space="preserve"> use the following steps.</w:t>
      </w:r>
    </w:p>
    <w:p w14:paraId="40218DE0" w14:textId="77777777" w:rsidR="002A02EF" w:rsidRDefault="002A02EF">
      <w:pPr>
        <w:rPr>
          <w:sz w:val="28"/>
          <w:szCs w:val="28"/>
        </w:rPr>
      </w:pPr>
    </w:p>
    <w:p w14:paraId="624C9500" w14:textId="0DFD6994" w:rsidR="002A02EF" w:rsidRDefault="009219C0">
      <w:pPr>
        <w:rPr>
          <w:sz w:val="28"/>
          <w:szCs w:val="28"/>
        </w:rPr>
      </w:pPr>
      <w:r>
        <w:rPr>
          <w:sz w:val="28"/>
          <w:szCs w:val="28"/>
        </w:rPr>
        <w:t xml:space="preserve">Click on the Quick Action Icon on the top right side of the page. </w:t>
      </w:r>
      <w:r>
        <w:rPr>
          <w:sz w:val="28"/>
          <w:szCs w:val="28"/>
        </w:rPr>
        <w:t xml:space="preserve"> Note, you must be in the plan option of your plan </w:t>
      </w:r>
      <w:r w:rsidR="00001B84">
        <w:rPr>
          <w:sz w:val="28"/>
          <w:szCs w:val="28"/>
        </w:rPr>
        <w:t>for</w:t>
      </w:r>
      <w:r>
        <w:rPr>
          <w:sz w:val="28"/>
          <w:szCs w:val="28"/>
        </w:rPr>
        <w:t xml:space="preserve"> Navi to access your numbers.  </w:t>
      </w:r>
    </w:p>
    <w:p w14:paraId="2EFD1DE8" w14:textId="77777777" w:rsidR="002A02EF" w:rsidRDefault="002A02EF">
      <w:pPr>
        <w:rPr>
          <w:sz w:val="28"/>
          <w:szCs w:val="28"/>
        </w:rPr>
      </w:pPr>
    </w:p>
    <w:p w14:paraId="3F711F41" w14:textId="77777777" w:rsidR="002A02EF" w:rsidRDefault="002A02EF">
      <w:pPr>
        <w:rPr>
          <w:sz w:val="28"/>
          <w:szCs w:val="28"/>
        </w:rPr>
      </w:pPr>
    </w:p>
    <w:p w14:paraId="71C8CF83" w14:textId="77777777" w:rsidR="002A02EF" w:rsidRDefault="002A02EF">
      <w:pPr>
        <w:rPr>
          <w:sz w:val="28"/>
          <w:szCs w:val="28"/>
        </w:rPr>
      </w:pPr>
    </w:p>
    <w:p w14:paraId="3FCDB8B2" w14:textId="77777777" w:rsidR="002A02EF" w:rsidRDefault="002A02EF">
      <w:pPr>
        <w:rPr>
          <w:sz w:val="28"/>
          <w:szCs w:val="28"/>
        </w:rPr>
      </w:pPr>
    </w:p>
    <w:p w14:paraId="523351EA" w14:textId="77777777" w:rsidR="002A02EF" w:rsidRDefault="002A02EF">
      <w:pPr>
        <w:rPr>
          <w:sz w:val="28"/>
          <w:szCs w:val="28"/>
        </w:rPr>
      </w:pPr>
    </w:p>
    <w:p w14:paraId="15DA6244" w14:textId="77777777" w:rsidR="002A02EF" w:rsidRDefault="002A02EF">
      <w:pPr>
        <w:rPr>
          <w:sz w:val="28"/>
          <w:szCs w:val="28"/>
        </w:rPr>
      </w:pPr>
    </w:p>
    <w:p w14:paraId="75F87F86" w14:textId="77777777" w:rsidR="002A02EF" w:rsidRDefault="009219C0">
      <w:pPr>
        <w:rPr>
          <w:sz w:val="28"/>
          <w:szCs w:val="28"/>
        </w:rPr>
      </w:pPr>
      <w:r>
        <w:rPr>
          <w:noProof/>
          <w:sz w:val="28"/>
          <w:szCs w:val="28"/>
        </w:rPr>
        <w:drawing>
          <wp:inline distT="114300" distB="114300" distL="114300" distR="114300" wp14:anchorId="7297A6A5" wp14:editId="3EE0FD48">
            <wp:extent cx="5943600" cy="3175000"/>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5943600" cy="3175000"/>
                    </a:xfrm>
                    <a:prstGeom prst="rect">
                      <a:avLst/>
                    </a:prstGeom>
                    <a:ln/>
                  </pic:spPr>
                </pic:pic>
              </a:graphicData>
            </a:graphic>
          </wp:inline>
        </w:drawing>
      </w:r>
    </w:p>
    <w:p w14:paraId="59413A0E" w14:textId="77777777" w:rsidR="002A02EF" w:rsidRDefault="002A02EF">
      <w:pPr>
        <w:rPr>
          <w:sz w:val="28"/>
          <w:szCs w:val="28"/>
        </w:rPr>
      </w:pPr>
    </w:p>
    <w:p w14:paraId="365D0706" w14:textId="77777777" w:rsidR="002A02EF" w:rsidRDefault="002A02EF">
      <w:pPr>
        <w:rPr>
          <w:sz w:val="28"/>
          <w:szCs w:val="28"/>
        </w:rPr>
      </w:pPr>
    </w:p>
    <w:p w14:paraId="29E34626" w14:textId="77777777" w:rsidR="002A02EF" w:rsidRDefault="009219C0">
      <w:pPr>
        <w:rPr>
          <w:sz w:val="28"/>
          <w:szCs w:val="28"/>
        </w:rPr>
      </w:pPr>
      <w:r>
        <w:rPr>
          <w:noProof/>
          <w:sz w:val="28"/>
          <w:szCs w:val="28"/>
        </w:rPr>
        <w:drawing>
          <wp:inline distT="114300" distB="114300" distL="114300" distR="114300" wp14:anchorId="58617804" wp14:editId="2E460885">
            <wp:extent cx="3695700" cy="13049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695700" cy="1304925"/>
                    </a:xfrm>
                    <a:prstGeom prst="rect">
                      <a:avLst/>
                    </a:prstGeom>
                    <a:ln/>
                  </pic:spPr>
                </pic:pic>
              </a:graphicData>
            </a:graphic>
          </wp:inline>
        </w:drawing>
      </w:r>
    </w:p>
    <w:p w14:paraId="0F06F8E6" w14:textId="77777777" w:rsidR="002A02EF" w:rsidRDefault="002A02EF">
      <w:pPr>
        <w:rPr>
          <w:sz w:val="28"/>
          <w:szCs w:val="28"/>
        </w:rPr>
      </w:pPr>
    </w:p>
    <w:p w14:paraId="198741E9" w14:textId="77777777" w:rsidR="002A02EF" w:rsidRDefault="002A02EF">
      <w:pPr>
        <w:rPr>
          <w:sz w:val="28"/>
          <w:szCs w:val="28"/>
        </w:rPr>
      </w:pPr>
    </w:p>
    <w:p w14:paraId="74F83D84" w14:textId="77777777" w:rsidR="002A02EF" w:rsidRDefault="002A02EF">
      <w:pPr>
        <w:rPr>
          <w:sz w:val="28"/>
          <w:szCs w:val="28"/>
        </w:rPr>
      </w:pPr>
    </w:p>
    <w:p w14:paraId="725CE1CB" w14:textId="77777777" w:rsidR="002A02EF" w:rsidRDefault="002A02EF">
      <w:pPr>
        <w:rPr>
          <w:sz w:val="28"/>
          <w:szCs w:val="28"/>
        </w:rPr>
      </w:pPr>
    </w:p>
    <w:p w14:paraId="704F17DD" w14:textId="77777777" w:rsidR="002A02EF" w:rsidRDefault="002A02EF">
      <w:pPr>
        <w:rPr>
          <w:sz w:val="28"/>
          <w:szCs w:val="28"/>
        </w:rPr>
      </w:pPr>
    </w:p>
    <w:p w14:paraId="25536183" w14:textId="77777777" w:rsidR="002A02EF" w:rsidRDefault="002A02EF">
      <w:pPr>
        <w:rPr>
          <w:sz w:val="28"/>
          <w:szCs w:val="28"/>
        </w:rPr>
      </w:pPr>
    </w:p>
    <w:p w14:paraId="0AD0AB8B" w14:textId="77777777" w:rsidR="002A02EF" w:rsidRDefault="002A02EF">
      <w:pPr>
        <w:rPr>
          <w:sz w:val="28"/>
          <w:szCs w:val="28"/>
        </w:rPr>
      </w:pPr>
    </w:p>
    <w:p w14:paraId="0251BBE2" w14:textId="77777777" w:rsidR="002A02EF" w:rsidRDefault="002A02EF">
      <w:pPr>
        <w:rPr>
          <w:sz w:val="28"/>
          <w:szCs w:val="28"/>
        </w:rPr>
      </w:pPr>
    </w:p>
    <w:p w14:paraId="14A16C0D" w14:textId="77777777" w:rsidR="002A02EF" w:rsidRDefault="002A02EF">
      <w:pPr>
        <w:rPr>
          <w:sz w:val="28"/>
          <w:szCs w:val="28"/>
        </w:rPr>
      </w:pPr>
    </w:p>
    <w:p w14:paraId="0FBAE2E1" w14:textId="74651220" w:rsidR="002A02EF" w:rsidRDefault="002A02EF">
      <w:pPr>
        <w:rPr>
          <w:sz w:val="28"/>
          <w:szCs w:val="28"/>
        </w:rPr>
      </w:pPr>
    </w:p>
    <w:p w14:paraId="64754351" w14:textId="77777777" w:rsidR="00001B84" w:rsidRDefault="00001B84">
      <w:pPr>
        <w:rPr>
          <w:sz w:val="28"/>
          <w:szCs w:val="28"/>
        </w:rPr>
      </w:pPr>
    </w:p>
    <w:p w14:paraId="0F9E860B" w14:textId="77777777" w:rsidR="002A02EF" w:rsidRDefault="009219C0">
      <w:pPr>
        <w:numPr>
          <w:ilvl w:val="0"/>
          <w:numId w:val="2"/>
        </w:numPr>
        <w:rPr>
          <w:b/>
          <w:sz w:val="28"/>
          <w:szCs w:val="28"/>
        </w:rPr>
      </w:pPr>
      <w:r>
        <w:rPr>
          <w:b/>
          <w:sz w:val="28"/>
          <w:szCs w:val="28"/>
        </w:rPr>
        <w:t>Detailed Cash Flow Report</w:t>
      </w:r>
    </w:p>
    <w:p w14:paraId="4F88FF3B" w14:textId="77777777" w:rsidR="002A02EF" w:rsidRDefault="002A02EF">
      <w:pPr>
        <w:rPr>
          <w:sz w:val="28"/>
          <w:szCs w:val="28"/>
        </w:rPr>
      </w:pPr>
    </w:p>
    <w:p w14:paraId="55B44CDB" w14:textId="77777777" w:rsidR="002A02EF" w:rsidRDefault="009219C0">
      <w:pPr>
        <w:rPr>
          <w:sz w:val="28"/>
          <w:szCs w:val="28"/>
        </w:rPr>
      </w:pPr>
      <w:r>
        <w:rPr>
          <w:sz w:val="28"/>
          <w:szCs w:val="28"/>
        </w:rPr>
        <w:t xml:space="preserve">This report is only for specific calendar years and provides specific information on the income, expenses, and tax information.    This report can be found in the Cash Flow Section of the Quick Action Tab.   </w:t>
      </w:r>
    </w:p>
    <w:p w14:paraId="00F53FE9" w14:textId="77777777" w:rsidR="002A02EF" w:rsidRDefault="002A02EF">
      <w:pPr>
        <w:rPr>
          <w:sz w:val="28"/>
          <w:szCs w:val="28"/>
        </w:rPr>
      </w:pPr>
    </w:p>
    <w:p w14:paraId="5BA172A8" w14:textId="77777777" w:rsidR="002A02EF" w:rsidRDefault="009219C0">
      <w:pPr>
        <w:rPr>
          <w:sz w:val="28"/>
          <w:szCs w:val="28"/>
        </w:rPr>
      </w:pPr>
      <w:r>
        <w:rPr>
          <w:noProof/>
          <w:sz w:val="28"/>
          <w:szCs w:val="28"/>
        </w:rPr>
        <w:drawing>
          <wp:inline distT="114300" distB="114300" distL="114300" distR="114300" wp14:anchorId="4FC1B2B4" wp14:editId="54F17BCE">
            <wp:extent cx="5943600" cy="825500"/>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943600" cy="825500"/>
                    </a:xfrm>
                    <a:prstGeom prst="rect">
                      <a:avLst/>
                    </a:prstGeom>
                    <a:ln/>
                  </pic:spPr>
                </pic:pic>
              </a:graphicData>
            </a:graphic>
          </wp:inline>
        </w:drawing>
      </w:r>
    </w:p>
    <w:p w14:paraId="5BB88CE5" w14:textId="77777777" w:rsidR="002A02EF" w:rsidRDefault="002A02EF">
      <w:pPr>
        <w:rPr>
          <w:sz w:val="28"/>
          <w:szCs w:val="28"/>
        </w:rPr>
      </w:pPr>
    </w:p>
    <w:p w14:paraId="520207C7" w14:textId="77777777" w:rsidR="002A02EF" w:rsidRDefault="009219C0">
      <w:pPr>
        <w:rPr>
          <w:sz w:val="28"/>
          <w:szCs w:val="28"/>
        </w:rPr>
      </w:pPr>
      <w:r>
        <w:rPr>
          <w:noProof/>
          <w:sz w:val="28"/>
          <w:szCs w:val="28"/>
        </w:rPr>
        <w:drawing>
          <wp:inline distT="114300" distB="114300" distL="114300" distR="114300" wp14:anchorId="4F277490" wp14:editId="37AF9347">
            <wp:extent cx="4529138" cy="5581010"/>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4529138" cy="5581010"/>
                    </a:xfrm>
                    <a:prstGeom prst="rect">
                      <a:avLst/>
                    </a:prstGeom>
                    <a:ln/>
                  </pic:spPr>
                </pic:pic>
              </a:graphicData>
            </a:graphic>
          </wp:inline>
        </w:drawing>
      </w:r>
    </w:p>
    <w:p w14:paraId="32F14E49" w14:textId="77777777" w:rsidR="002A02EF" w:rsidRDefault="002A02EF">
      <w:pPr>
        <w:rPr>
          <w:sz w:val="28"/>
          <w:szCs w:val="28"/>
        </w:rPr>
      </w:pPr>
    </w:p>
    <w:p w14:paraId="6E551D0F" w14:textId="77777777" w:rsidR="002A02EF" w:rsidRDefault="002A02EF">
      <w:pPr>
        <w:rPr>
          <w:sz w:val="28"/>
          <w:szCs w:val="28"/>
        </w:rPr>
      </w:pPr>
    </w:p>
    <w:p w14:paraId="5248C0C9" w14:textId="77777777" w:rsidR="002A02EF" w:rsidRDefault="002A02EF">
      <w:pPr>
        <w:rPr>
          <w:sz w:val="28"/>
          <w:szCs w:val="28"/>
        </w:rPr>
      </w:pPr>
    </w:p>
    <w:p w14:paraId="4C18AE12" w14:textId="77777777" w:rsidR="002A02EF" w:rsidRDefault="009219C0">
      <w:pPr>
        <w:numPr>
          <w:ilvl w:val="0"/>
          <w:numId w:val="2"/>
        </w:numPr>
        <w:rPr>
          <w:b/>
          <w:sz w:val="28"/>
          <w:szCs w:val="28"/>
        </w:rPr>
      </w:pPr>
      <w:r>
        <w:rPr>
          <w:b/>
          <w:sz w:val="28"/>
          <w:szCs w:val="28"/>
        </w:rPr>
        <w:t>Tax Credits</w:t>
      </w:r>
    </w:p>
    <w:p w14:paraId="69DAB437" w14:textId="77777777" w:rsidR="002A02EF" w:rsidRDefault="002A02EF">
      <w:pPr>
        <w:rPr>
          <w:sz w:val="28"/>
          <w:szCs w:val="28"/>
        </w:rPr>
      </w:pPr>
    </w:p>
    <w:p w14:paraId="06408D5B" w14:textId="1C9A8681" w:rsidR="002A02EF" w:rsidRDefault="009219C0">
      <w:pPr>
        <w:rPr>
          <w:i/>
          <w:sz w:val="28"/>
          <w:szCs w:val="28"/>
        </w:rPr>
      </w:pPr>
      <w:r>
        <w:rPr>
          <w:sz w:val="28"/>
          <w:szCs w:val="28"/>
        </w:rPr>
        <w:t xml:space="preserve">This report is valuable as it will show your Age Credit and the Pension Tax Credit.  It will also show Charitable Gifting Credits (federal).   </w:t>
      </w:r>
      <w:r>
        <w:rPr>
          <w:i/>
          <w:sz w:val="28"/>
          <w:szCs w:val="28"/>
        </w:rPr>
        <w:t xml:space="preserve">For provincial tax credits, you need to access the Individual Tax Report page as well.    </w:t>
      </w:r>
    </w:p>
    <w:p w14:paraId="757B9AB2" w14:textId="77777777" w:rsidR="002A02EF" w:rsidRDefault="002A02EF">
      <w:pPr>
        <w:rPr>
          <w:i/>
          <w:sz w:val="28"/>
          <w:szCs w:val="28"/>
        </w:rPr>
      </w:pPr>
    </w:p>
    <w:p w14:paraId="21EA992D" w14:textId="77777777" w:rsidR="002A02EF" w:rsidRDefault="002A02EF">
      <w:pPr>
        <w:rPr>
          <w:sz w:val="28"/>
          <w:szCs w:val="28"/>
        </w:rPr>
      </w:pPr>
    </w:p>
    <w:p w14:paraId="40030639" w14:textId="77777777" w:rsidR="002A02EF" w:rsidRDefault="002A02EF">
      <w:pPr>
        <w:rPr>
          <w:sz w:val="28"/>
          <w:szCs w:val="28"/>
        </w:rPr>
      </w:pPr>
    </w:p>
    <w:p w14:paraId="4F129F5C" w14:textId="77777777" w:rsidR="002A02EF" w:rsidRDefault="009219C0">
      <w:pPr>
        <w:rPr>
          <w:sz w:val="28"/>
          <w:szCs w:val="28"/>
        </w:rPr>
      </w:pPr>
      <w:r>
        <w:rPr>
          <w:noProof/>
          <w:sz w:val="28"/>
          <w:szCs w:val="28"/>
        </w:rPr>
        <w:drawing>
          <wp:inline distT="114300" distB="114300" distL="114300" distR="114300" wp14:anchorId="65B1D1E6" wp14:editId="71CE4CDA">
            <wp:extent cx="5943600" cy="40259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43600" cy="4025900"/>
                    </a:xfrm>
                    <a:prstGeom prst="rect">
                      <a:avLst/>
                    </a:prstGeom>
                    <a:ln/>
                  </pic:spPr>
                </pic:pic>
              </a:graphicData>
            </a:graphic>
          </wp:inline>
        </w:drawing>
      </w:r>
    </w:p>
    <w:p w14:paraId="1878606B" w14:textId="77777777" w:rsidR="002A02EF" w:rsidRDefault="002A02EF">
      <w:pPr>
        <w:rPr>
          <w:sz w:val="28"/>
          <w:szCs w:val="28"/>
        </w:rPr>
      </w:pPr>
    </w:p>
    <w:p w14:paraId="5D17B419" w14:textId="77777777" w:rsidR="002A02EF" w:rsidRDefault="002A02EF">
      <w:pPr>
        <w:rPr>
          <w:sz w:val="28"/>
          <w:szCs w:val="28"/>
        </w:rPr>
      </w:pPr>
    </w:p>
    <w:p w14:paraId="71650B01" w14:textId="77777777" w:rsidR="002A02EF" w:rsidRDefault="002A02EF">
      <w:pPr>
        <w:rPr>
          <w:sz w:val="28"/>
          <w:szCs w:val="28"/>
        </w:rPr>
      </w:pPr>
    </w:p>
    <w:p w14:paraId="4C642318" w14:textId="77777777" w:rsidR="002A02EF" w:rsidRDefault="002A02EF">
      <w:pPr>
        <w:rPr>
          <w:sz w:val="28"/>
          <w:szCs w:val="28"/>
        </w:rPr>
      </w:pPr>
    </w:p>
    <w:p w14:paraId="38A321C4" w14:textId="77777777" w:rsidR="002A02EF" w:rsidRDefault="002A02EF">
      <w:pPr>
        <w:rPr>
          <w:sz w:val="28"/>
          <w:szCs w:val="28"/>
        </w:rPr>
      </w:pPr>
    </w:p>
    <w:p w14:paraId="65533212" w14:textId="77777777" w:rsidR="002A02EF" w:rsidRDefault="002A02EF">
      <w:pPr>
        <w:rPr>
          <w:sz w:val="28"/>
          <w:szCs w:val="28"/>
        </w:rPr>
      </w:pPr>
    </w:p>
    <w:p w14:paraId="43B4BC86" w14:textId="77777777" w:rsidR="002A02EF" w:rsidRDefault="002A02EF">
      <w:pPr>
        <w:rPr>
          <w:sz w:val="28"/>
          <w:szCs w:val="28"/>
        </w:rPr>
      </w:pPr>
    </w:p>
    <w:p w14:paraId="07B12E4F" w14:textId="77777777" w:rsidR="002A02EF" w:rsidRDefault="002A02EF">
      <w:pPr>
        <w:rPr>
          <w:sz w:val="28"/>
          <w:szCs w:val="28"/>
        </w:rPr>
      </w:pPr>
    </w:p>
    <w:p w14:paraId="334A4712" w14:textId="77777777" w:rsidR="002A02EF" w:rsidRDefault="009219C0">
      <w:pPr>
        <w:numPr>
          <w:ilvl w:val="0"/>
          <w:numId w:val="2"/>
        </w:numPr>
        <w:rPr>
          <w:b/>
          <w:sz w:val="28"/>
          <w:szCs w:val="28"/>
        </w:rPr>
      </w:pPr>
      <w:r>
        <w:rPr>
          <w:b/>
          <w:sz w:val="28"/>
          <w:szCs w:val="28"/>
        </w:rPr>
        <w:t>Income Tax Details</w:t>
      </w:r>
    </w:p>
    <w:p w14:paraId="4395441F" w14:textId="77777777" w:rsidR="002A02EF" w:rsidRDefault="002A02EF">
      <w:pPr>
        <w:rPr>
          <w:sz w:val="28"/>
          <w:szCs w:val="28"/>
        </w:rPr>
      </w:pPr>
    </w:p>
    <w:p w14:paraId="50633725" w14:textId="2C73DFFF" w:rsidR="002A02EF" w:rsidRDefault="009219C0">
      <w:pPr>
        <w:rPr>
          <w:sz w:val="28"/>
          <w:szCs w:val="28"/>
        </w:rPr>
      </w:pPr>
      <w:r>
        <w:rPr>
          <w:sz w:val="28"/>
          <w:szCs w:val="28"/>
        </w:rPr>
        <w:t xml:space="preserve">This report will have specific information pertaining to the income tax payable and how the calculations were derived.   This can be found under Reports, Income Tax, Income Tax </w:t>
      </w:r>
      <w:r w:rsidR="00001B84">
        <w:rPr>
          <w:sz w:val="28"/>
          <w:szCs w:val="28"/>
        </w:rPr>
        <w:t>Detail,</w:t>
      </w:r>
      <w:r>
        <w:rPr>
          <w:sz w:val="28"/>
          <w:szCs w:val="28"/>
        </w:rPr>
        <w:t xml:space="preserve"> and Income Tax Details for the specific member.    </w:t>
      </w:r>
      <w:r>
        <w:rPr>
          <w:sz w:val="28"/>
          <w:szCs w:val="28"/>
        </w:rPr>
        <w:t xml:space="preserve"> Remember once you access the report, click on Add to Favorites.  </w:t>
      </w:r>
    </w:p>
    <w:p w14:paraId="09477723" w14:textId="77777777" w:rsidR="002A02EF" w:rsidRDefault="002A02EF">
      <w:pPr>
        <w:rPr>
          <w:sz w:val="28"/>
          <w:szCs w:val="28"/>
        </w:rPr>
      </w:pPr>
    </w:p>
    <w:p w14:paraId="15B23463" w14:textId="77777777" w:rsidR="002A02EF" w:rsidRDefault="002A02EF">
      <w:pPr>
        <w:rPr>
          <w:sz w:val="28"/>
          <w:szCs w:val="28"/>
        </w:rPr>
      </w:pPr>
    </w:p>
    <w:p w14:paraId="7090760E" w14:textId="77777777" w:rsidR="002A02EF" w:rsidRDefault="009219C0">
      <w:pPr>
        <w:rPr>
          <w:sz w:val="28"/>
          <w:szCs w:val="28"/>
        </w:rPr>
      </w:pPr>
      <w:r>
        <w:rPr>
          <w:noProof/>
          <w:sz w:val="28"/>
          <w:szCs w:val="28"/>
        </w:rPr>
        <w:drawing>
          <wp:inline distT="114300" distB="114300" distL="114300" distR="114300" wp14:anchorId="12674168" wp14:editId="1E44F026">
            <wp:extent cx="5943600" cy="1828800"/>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943600" cy="1828800"/>
                    </a:xfrm>
                    <a:prstGeom prst="rect">
                      <a:avLst/>
                    </a:prstGeom>
                    <a:ln/>
                  </pic:spPr>
                </pic:pic>
              </a:graphicData>
            </a:graphic>
          </wp:inline>
        </w:drawing>
      </w:r>
    </w:p>
    <w:p w14:paraId="710DEAD9" w14:textId="77777777" w:rsidR="002A02EF" w:rsidRDefault="002A02EF">
      <w:pPr>
        <w:rPr>
          <w:sz w:val="28"/>
          <w:szCs w:val="28"/>
        </w:rPr>
      </w:pPr>
    </w:p>
    <w:p w14:paraId="3DF77919" w14:textId="77777777" w:rsidR="002A02EF" w:rsidRDefault="002A02EF">
      <w:pPr>
        <w:rPr>
          <w:sz w:val="28"/>
          <w:szCs w:val="28"/>
        </w:rPr>
      </w:pPr>
    </w:p>
    <w:p w14:paraId="59ED8E12" w14:textId="77777777" w:rsidR="002A02EF" w:rsidRDefault="002A02EF">
      <w:pPr>
        <w:rPr>
          <w:sz w:val="28"/>
          <w:szCs w:val="28"/>
        </w:rPr>
      </w:pPr>
    </w:p>
    <w:p w14:paraId="09702827" w14:textId="77777777" w:rsidR="002A02EF" w:rsidRDefault="002A02EF">
      <w:pPr>
        <w:rPr>
          <w:sz w:val="28"/>
          <w:szCs w:val="28"/>
        </w:rPr>
      </w:pPr>
    </w:p>
    <w:p w14:paraId="2EC10AF4" w14:textId="77777777" w:rsidR="002A02EF" w:rsidRDefault="009219C0">
      <w:pPr>
        <w:rPr>
          <w:sz w:val="28"/>
          <w:szCs w:val="28"/>
        </w:rPr>
      </w:pPr>
      <w:r>
        <w:rPr>
          <w:sz w:val="28"/>
          <w:szCs w:val="28"/>
        </w:rPr>
        <w:t xml:space="preserve">  </w:t>
      </w:r>
    </w:p>
    <w:p w14:paraId="3ECE019E" w14:textId="77777777" w:rsidR="002A02EF" w:rsidRDefault="002A02EF">
      <w:pPr>
        <w:rPr>
          <w:sz w:val="28"/>
          <w:szCs w:val="28"/>
        </w:rPr>
      </w:pPr>
    </w:p>
    <w:p w14:paraId="0020CF1D" w14:textId="77777777" w:rsidR="002A02EF" w:rsidRDefault="009219C0">
      <w:pPr>
        <w:rPr>
          <w:sz w:val="28"/>
          <w:szCs w:val="28"/>
        </w:rPr>
      </w:pPr>
      <w:r>
        <w:rPr>
          <w:noProof/>
          <w:sz w:val="28"/>
          <w:szCs w:val="28"/>
        </w:rPr>
        <w:drawing>
          <wp:inline distT="114300" distB="114300" distL="114300" distR="114300" wp14:anchorId="55BDB294" wp14:editId="6978AA42">
            <wp:extent cx="5453063" cy="6397547"/>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5453063" cy="6397547"/>
                    </a:xfrm>
                    <a:prstGeom prst="rect">
                      <a:avLst/>
                    </a:prstGeom>
                    <a:ln/>
                  </pic:spPr>
                </pic:pic>
              </a:graphicData>
            </a:graphic>
          </wp:inline>
        </w:drawing>
      </w:r>
    </w:p>
    <w:p w14:paraId="05B62E4E" w14:textId="77777777" w:rsidR="002A02EF" w:rsidRDefault="002A02EF">
      <w:pPr>
        <w:rPr>
          <w:sz w:val="28"/>
          <w:szCs w:val="28"/>
        </w:rPr>
      </w:pPr>
    </w:p>
    <w:p w14:paraId="391B249B" w14:textId="77777777" w:rsidR="002A02EF" w:rsidRDefault="002A02EF">
      <w:pPr>
        <w:rPr>
          <w:sz w:val="28"/>
          <w:szCs w:val="28"/>
        </w:rPr>
      </w:pPr>
    </w:p>
    <w:p w14:paraId="61580DFB" w14:textId="77777777" w:rsidR="002A02EF" w:rsidRDefault="002A02EF">
      <w:pPr>
        <w:rPr>
          <w:sz w:val="28"/>
          <w:szCs w:val="28"/>
        </w:rPr>
      </w:pPr>
    </w:p>
    <w:p w14:paraId="0A1D4EAC" w14:textId="77777777" w:rsidR="002A02EF" w:rsidRDefault="002A02EF">
      <w:pPr>
        <w:rPr>
          <w:sz w:val="28"/>
          <w:szCs w:val="28"/>
        </w:rPr>
      </w:pPr>
    </w:p>
    <w:p w14:paraId="215FD2F6" w14:textId="77777777" w:rsidR="002A02EF" w:rsidRDefault="002A02EF">
      <w:pPr>
        <w:rPr>
          <w:sz w:val="28"/>
          <w:szCs w:val="28"/>
        </w:rPr>
      </w:pPr>
    </w:p>
    <w:p w14:paraId="742CDCDD" w14:textId="77777777" w:rsidR="002A02EF" w:rsidRDefault="002A02EF">
      <w:pPr>
        <w:rPr>
          <w:sz w:val="28"/>
          <w:szCs w:val="28"/>
        </w:rPr>
      </w:pPr>
    </w:p>
    <w:p w14:paraId="7821FEA5" w14:textId="77777777" w:rsidR="002A02EF" w:rsidRDefault="002A02EF">
      <w:pPr>
        <w:rPr>
          <w:sz w:val="28"/>
          <w:szCs w:val="28"/>
        </w:rPr>
      </w:pPr>
    </w:p>
    <w:p w14:paraId="4B330397" w14:textId="7EDEF6E7" w:rsidR="002A02EF" w:rsidRDefault="009219C0">
      <w:pPr>
        <w:numPr>
          <w:ilvl w:val="0"/>
          <w:numId w:val="2"/>
        </w:numPr>
        <w:rPr>
          <w:b/>
          <w:sz w:val="28"/>
          <w:szCs w:val="28"/>
        </w:rPr>
      </w:pPr>
      <w:r>
        <w:rPr>
          <w:b/>
          <w:sz w:val="28"/>
          <w:szCs w:val="28"/>
        </w:rPr>
        <w:t xml:space="preserve">Asset </w:t>
      </w:r>
      <w:r w:rsidR="00001B84">
        <w:rPr>
          <w:b/>
          <w:sz w:val="28"/>
          <w:szCs w:val="28"/>
        </w:rPr>
        <w:t>Accumulation</w:t>
      </w:r>
      <w:r>
        <w:rPr>
          <w:b/>
          <w:sz w:val="28"/>
          <w:szCs w:val="28"/>
        </w:rPr>
        <w:t xml:space="preserve"> and Redemption</w:t>
      </w:r>
    </w:p>
    <w:p w14:paraId="7F1D973C" w14:textId="77777777" w:rsidR="002A02EF" w:rsidRDefault="002A02EF">
      <w:pPr>
        <w:rPr>
          <w:sz w:val="28"/>
          <w:szCs w:val="28"/>
        </w:rPr>
      </w:pPr>
    </w:p>
    <w:p w14:paraId="2D3FE1C4" w14:textId="711CE5EE" w:rsidR="002A02EF" w:rsidRDefault="009219C0">
      <w:pPr>
        <w:rPr>
          <w:sz w:val="28"/>
          <w:szCs w:val="28"/>
        </w:rPr>
      </w:pPr>
      <w:r>
        <w:rPr>
          <w:sz w:val="28"/>
          <w:szCs w:val="28"/>
        </w:rPr>
        <w:t xml:space="preserve">This report is the one </w:t>
      </w:r>
      <w:r w:rsidR="00941D69">
        <w:rPr>
          <w:sz w:val="28"/>
          <w:szCs w:val="28"/>
        </w:rPr>
        <w:t xml:space="preserve">you can use </w:t>
      </w:r>
      <w:r>
        <w:rPr>
          <w:sz w:val="28"/>
          <w:szCs w:val="28"/>
        </w:rPr>
        <w:t xml:space="preserve">when </w:t>
      </w:r>
      <w:r w:rsidR="00941D69">
        <w:rPr>
          <w:sz w:val="28"/>
          <w:szCs w:val="28"/>
        </w:rPr>
        <w:t xml:space="preserve">you </w:t>
      </w:r>
      <w:r>
        <w:rPr>
          <w:sz w:val="28"/>
          <w:szCs w:val="28"/>
        </w:rPr>
        <w:t xml:space="preserve">need to see the remaining assets in a specific year.   For </w:t>
      </w:r>
      <w:r w:rsidR="00001B84">
        <w:rPr>
          <w:sz w:val="28"/>
          <w:szCs w:val="28"/>
        </w:rPr>
        <w:t>example,</w:t>
      </w:r>
      <w:r>
        <w:rPr>
          <w:sz w:val="28"/>
          <w:szCs w:val="28"/>
        </w:rPr>
        <w:t xml:space="preserve"> if the client’s registered assets have been depleted, you can see what year they were depleted and start the next course of action.    It is al</w:t>
      </w:r>
      <w:r>
        <w:rPr>
          <w:sz w:val="28"/>
          <w:szCs w:val="28"/>
        </w:rPr>
        <w:t xml:space="preserve">so great for using the Major Purchase Strategy.   If your member is saving for a car or a vacation, you can access this report to see when their projected savings will be </w:t>
      </w:r>
      <w:r w:rsidR="00001B84">
        <w:rPr>
          <w:sz w:val="28"/>
          <w:szCs w:val="28"/>
        </w:rPr>
        <w:t>met,</w:t>
      </w:r>
      <w:r>
        <w:rPr>
          <w:sz w:val="28"/>
          <w:szCs w:val="28"/>
        </w:rPr>
        <w:t xml:space="preserve"> and you can create a plan for any shortfalls or surplus amounts.   To access thi</w:t>
      </w:r>
      <w:r>
        <w:rPr>
          <w:sz w:val="28"/>
          <w:szCs w:val="28"/>
        </w:rPr>
        <w:t>s report, click on Quick Actions, Reports, Capital Accumulation and Depletion and Asset Accumulation and Redemption.   In this example you can see the sale of Kennedy’s home in 2024 as well as the purchase of the new condo.</w:t>
      </w:r>
    </w:p>
    <w:p w14:paraId="06C4F78B" w14:textId="77777777" w:rsidR="002A02EF" w:rsidRDefault="002A02EF">
      <w:pPr>
        <w:rPr>
          <w:sz w:val="28"/>
          <w:szCs w:val="28"/>
        </w:rPr>
      </w:pPr>
    </w:p>
    <w:p w14:paraId="4D595315" w14:textId="77777777" w:rsidR="002A02EF" w:rsidRDefault="002A02EF">
      <w:pPr>
        <w:rPr>
          <w:sz w:val="28"/>
          <w:szCs w:val="28"/>
        </w:rPr>
      </w:pPr>
    </w:p>
    <w:p w14:paraId="76D52052" w14:textId="77777777" w:rsidR="002A02EF" w:rsidRDefault="002A02EF">
      <w:pPr>
        <w:rPr>
          <w:sz w:val="28"/>
          <w:szCs w:val="28"/>
        </w:rPr>
      </w:pPr>
    </w:p>
    <w:p w14:paraId="6945E5DE" w14:textId="77777777" w:rsidR="002A02EF" w:rsidRDefault="009219C0">
      <w:pPr>
        <w:rPr>
          <w:sz w:val="28"/>
          <w:szCs w:val="28"/>
        </w:rPr>
      </w:pPr>
      <w:r>
        <w:rPr>
          <w:noProof/>
          <w:sz w:val="28"/>
          <w:szCs w:val="28"/>
        </w:rPr>
        <w:drawing>
          <wp:inline distT="114300" distB="114300" distL="114300" distR="114300" wp14:anchorId="5528A5A7" wp14:editId="1367E54B">
            <wp:extent cx="6686550" cy="4550745"/>
            <wp:effectExtent l="0" t="0" r="0" b="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6686550" cy="4550745"/>
                    </a:xfrm>
                    <a:prstGeom prst="rect">
                      <a:avLst/>
                    </a:prstGeom>
                    <a:ln/>
                  </pic:spPr>
                </pic:pic>
              </a:graphicData>
            </a:graphic>
          </wp:inline>
        </w:drawing>
      </w:r>
    </w:p>
    <w:p w14:paraId="39906E0F" w14:textId="77777777" w:rsidR="002A02EF" w:rsidRDefault="009219C0">
      <w:pPr>
        <w:numPr>
          <w:ilvl w:val="0"/>
          <w:numId w:val="2"/>
        </w:numPr>
        <w:rPr>
          <w:b/>
          <w:sz w:val="28"/>
          <w:szCs w:val="28"/>
        </w:rPr>
      </w:pPr>
      <w:r>
        <w:rPr>
          <w:b/>
          <w:sz w:val="28"/>
          <w:szCs w:val="28"/>
        </w:rPr>
        <w:t>Education Savings Report</w:t>
      </w:r>
    </w:p>
    <w:p w14:paraId="74DB0B50" w14:textId="77777777" w:rsidR="002A02EF" w:rsidRDefault="002A02EF">
      <w:pPr>
        <w:rPr>
          <w:sz w:val="28"/>
          <w:szCs w:val="28"/>
        </w:rPr>
      </w:pPr>
    </w:p>
    <w:p w14:paraId="124E0269" w14:textId="357A903F" w:rsidR="002A02EF" w:rsidRDefault="009219C0">
      <w:pPr>
        <w:rPr>
          <w:sz w:val="28"/>
          <w:szCs w:val="28"/>
        </w:rPr>
      </w:pPr>
      <w:r>
        <w:rPr>
          <w:sz w:val="28"/>
          <w:szCs w:val="28"/>
        </w:rPr>
        <w:t>T</w:t>
      </w:r>
      <w:r>
        <w:rPr>
          <w:sz w:val="28"/>
          <w:szCs w:val="28"/>
        </w:rPr>
        <w:t xml:space="preserve">his report itemizes the savings, the growth, CESG contributions as well as the EAP payments when the beneficiaries require the funding for </w:t>
      </w:r>
      <w:r w:rsidR="00001B84">
        <w:rPr>
          <w:sz w:val="28"/>
          <w:szCs w:val="28"/>
        </w:rPr>
        <w:t>post-secondary</w:t>
      </w:r>
      <w:r>
        <w:rPr>
          <w:sz w:val="28"/>
          <w:szCs w:val="28"/>
        </w:rPr>
        <w:t xml:space="preserve"> education.     It is an excellent summary of the cost of education vs. the current savings strategy an</w:t>
      </w:r>
      <w:r>
        <w:rPr>
          <w:sz w:val="28"/>
          <w:szCs w:val="28"/>
        </w:rPr>
        <w:t xml:space="preserve">d will identify any expected shortfalls.   This report can be located by clicking on Quick Actions, Goals, Savings and Education Savings Report.    Remember to click on Add to Favorites when you access the report. </w:t>
      </w:r>
    </w:p>
    <w:p w14:paraId="55BF43D8" w14:textId="77777777" w:rsidR="002A02EF" w:rsidRDefault="002A02EF">
      <w:pPr>
        <w:rPr>
          <w:sz w:val="28"/>
          <w:szCs w:val="28"/>
        </w:rPr>
      </w:pPr>
    </w:p>
    <w:p w14:paraId="259A9D2C" w14:textId="77777777" w:rsidR="002A02EF" w:rsidRDefault="002A02EF">
      <w:pPr>
        <w:rPr>
          <w:sz w:val="28"/>
          <w:szCs w:val="28"/>
        </w:rPr>
      </w:pPr>
    </w:p>
    <w:p w14:paraId="378C6372" w14:textId="77777777" w:rsidR="002A02EF" w:rsidRDefault="002A02EF">
      <w:pPr>
        <w:rPr>
          <w:sz w:val="28"/>
          <w:szCs w:val="28"/>
        </w:rPr>
      </w:pPr>
    </w:p>
    <w:p w14:paraId="1FCFEAAD" w14:textId="77777777" w:rsidR="002A02EF" w:rsidRDefault="002A02EF">
      <w:pPr>
        <w:rPr>
          <w:sz w:val="28"/>
          <w:szCs w:val="28"/>
        </w:rPr>
      </w:pPr>
    </w:p>
    <w:p w14:paraId="066AB5A9" w14:textId="77777777" w:rsidR="002A02EF" w:rsidRDefault="009219C0">
      <w:pPr>
        <w:rPr>
          <w:sz w:val="28"/>
          <w:szCs w:val="28"/>
        </w:rPr>
      </w:pPr>
      <w:r>
        <w:rPr>
          <w:noProof/>
          <w:sz w:val="28"/>
          <w:szCs w:val="28"/>
        </w:rPr>
        <w:drawing>
          <wp:inline distT="114300" distB="114300" distL="114300" distR="114300" wp14:anchorId="13D417C2" wp14:editId="4AA03914">
            <wp:extent cx="6534150" cy="2501271"/>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6534150" cy="2501271"/>
                    </a:xfrm>
                    <a:prstGeom prst="rect">
                      <a:avLst/>
                    </a:prstGeom>
                    <a:ln/>
                  </pic:spPr>
                </pic:pic>
              </a:graphicData>
            </a:graphic>
          </wp:inline>
        </w:drawing>
      </w:r>
    </w:p>
    <w:p w14:paraId="46C7BA75" w14:textId="77777777" w:rsidR="002A02EF" w:rsidRDefault="002A02EF">
      <w:pPr>
        <w:rPr>
          <w:sz w:val="28"/>
          <w:szCs w:val="28"/>
        </w:rPr>
      </w:pPr>
    </w:p>
    <w:p w14:paraId="7748FED4" w14:textId="77777777" w:rsidR="002A02EF" w:rsidRDefault="002A02EF">
      <w:pPr>
        <w:rPr>
          <w:sz w:val="28"/>
          <w:szCs w:val="28"/>
        </w:rPr>
      </w:pPr>
    </w:p>
    <w:p w14:paraId="46651389" w14:textId="77777777" w:rsidR="002A02EF" w:rsidRDefault="002A02EF">
      <w:pPr>
        <w:rPr>
          <w:sz w:val="28"/>
          <w:szCs w:val="28"/>
        </w:rPr>
      </w:pPr>
    </w:p>
    <w:p w14:paraId="2EAB46D0" w14:textId="77777777" w:rsidR="002A02EF" w:rsidRDefault="002A02EF">
      <w:pPr>
        <w:rPr>
          <w:sz w:val="28"/>
          <w:szCs w:val="28"/>
        </w:rPr>
      </w:pPr>
    </w:p>
    <w:p w14:paraId="7BC85D72" w14:textId="77777777" w:rsidR="002A02EF" w:rsidRDefault="002A02EF">
      <w:pPr>
        <w:rPr>
          <w:sz w:val="28"/>
          <w:szCs w:val="28"/>
        </w:rPr>
      </w:pPr>
    </w:p>
    <w:p w14:paraId="50B5CDFB" w14:textId="77777777" w:rsidR="002A02EF" w:rsidRDefault="002A02EF">
      <w:pPr>
        <w:rPr>
          <w:sz w:val="28"/>
          <w:szCs w:val="28"/>
        </w:rPr>
      </w:pPr>
    </w:p>
    <w:p w14:paraId="69AC01DA" w14:textId="77777777" w:rsidR="002A02EF" w:rsidRDefault="002A02EF">
      <w:pPr>
        <w:rPr>
          <w:sz w:val="28"/>
          <w:szCs w:val="28"/>
        </w:rPr>
      </w:pPr>
    </w:p>
    <w:p w14:paraId="06D00913" w14:textId="77777777" w:rsidR="002A02EF" w:rsidRDefault="002A02EF">
      <w:pPr>
        <w:rPr>
          <w:sz w:val="28"/>
          <w:szCs w:val="28"/>
        </w:rPr>
      </w:pPr>
    </w:p>
    <w:p w14:paraId="75F8E18F" w14:textId="77777777" w:rsidR="002A02EF" w:rsidRDefault="002A02EF">
      <w:pPr>
        <w:rPr>
          <w:sz w:val="28"/>
          <w:szCs w:val="28"/>
        </w:rPr>
      </w:pPr>
    </w:p>
    <w:p w14:paraId="67F22BF9" w14:textId="77777777" w:rsidR="002A02EF" w:rsidRDefault="002A02EF">
      <w:pPr>
        <w:rPr>
          <w:sz w:val="28"/>
          <w:szCs w:val="28"/>
        </w:rPr>
      </w:pPr>
    </w:p>
    <w:p w14:paraId="508DE791" w14:textId="77777777" w:rsidR="002A02EF" w:rsidRDefault="002A02EF">
      <w:pPr>
        <w:rPr>
          <w:sz w:val="28"/>
          <w:szCs w:val="28"/>
        </w:rPr>
      </w:pPr>
    </w:p>
    <w:p w14:paraId="6EF98608" w14:textId="77777777" w:rsidR="002A02EF" w:rsidRDefault="009219C0">
      <w:pPr>
        <w:numPr>
          <w:ilvl w:val="0"/>
          <w:numId w:val="2"/>
        </w:numPr>
        <w:rPr>
          <w:b/>
          <w:sz w:val="28"/>
          <w:szCs w:val="28"/>
        </w:rPr>
      </w:pPr>
      <w:r>
        <w:rPr>
          <w:b/>
          <w:sz w:val="28"/>
          <w:szCs w:val="28"/>
        </w:rPr>
        <w:t xml:space="preserve">Itemized Cash Flow </w:t>
      </w:r>
      <w:r>
        <w:rPr>
          <w:b/>
          <w:sz w:val="28"/>
          <w:szCs w:val="28"/>
        </w:rPr>
        <w:t>Projection</w:t>
      </w:r>
    </w:p>
    <w:p w14:paraId="7597D15F" w14:textId="77777777" w:rsidR="002A02EF" w:rsidRDefault="002A02EF">
      <w:pPr>
        <w:rPr>
          <w:sz w:val="28"/>
          <w:szCs w:val="28"/>
        </w:rPr>
      </w:pPr>
    </w:p>
    <w:p w14:paraId="5C481C13" w14:textId="167E48C2" w:rsidR="002A02EF" w:rsidRDefault="009219C0">
      <w:pPr>
        <w:rPr>
          <w:sz w:val="28"/>
          <w:szCs w:val="28"/>
        </w:rPr>
      </w:pPr>
      <w:r>
        <w:rPr>
          <w:sz w:val="28"/>
          <w:szCs w:val="28"/>
        </w:rPr>
        <w:t xml:space="preserve">This report is the one </w:t>
      </w:r>
      <w:r w:rsidR="00941D69">
        <w:rPr>
          <w:sz w:val="28"/>
          <w:szCs w:val="28"/>
        </w:rPr>
        <w:t>you can u</w:t>
      </w:r>
      <w:r>
        <w:rPr>
          <w:sz w:val="28"/>
          <w:szCs w:val="28"/>
        </w:rPr>
        <w:t xml:space="preserve">se the most when </w:t>
      </w:r>
      <w:r w:rsidR="00941D69">
        <w:rPr>
          <w:sz w:val="28"/>
          <w:szCs w:val="28"/>
        </w:rPr>
        <w:t xml:space="preserve">you </w:t>
      </w:r>
      <w:r>
        <w:rPr>
          <w:sz w:val="28"/>
          <w:szCs w:val="28"/>
        </w:rPr>
        <w:t xml:space="preserve">want to review long term projections.  It is valuable as you </w:t>
      </w:r>
      <w:r w:rsidR="00001B84">
        <w:rPr>
          <w:sz w:val="28"/>
          <w:szCs w:val="28"/>
        </w:rPr>
        <w:t>can</w:t>
      </w:r>
      <w:r>
        <w:rPr>
          <w:sz w:val="28"/>
          <w:szCs w:val="28"/>
        </w:rPr>
        <w:t xml:space="preserve"> view up to 10 years of cash flow.   For your retirement projections, you will be able to view the registered draw based on other incom</w:t>
      </w:r>
      <w:r>
        <w:rPr>
          <w:sz w:val="28"/>
          <w:szCs w:val="28"/>
        </w:rPr>
        <w:t>e and expenses.    For example, when CPP and OAS commence, the draw from registered assets will decrease accordingly.    This report can be located by clicking on Quick Actions, Cash Flow, Itemized Cash Flow Projection.   Once you have the report accessed,</w:t>
      </w:r>
      <w:r>
        <w:rPr>
          <w:sz w:val="28"/>
          <w:szCs w:val="28"/>
        </w:rPr>
        <w:t xml:space="preserve"> click on Add to </w:t>
      </w:r>
      <w:r w:rsidR="00001B84">
        <w:rPr>
          <w:sz w:val="28"/>
          <w:szCs w:val="28"/>
        </w:rPr>
        <w:t>Favorites</w:t>
      </w:r>
      <w:r>
        <w:rPr>
          <w:sz w:val="28"/>
          <w:szCs w:val="28"/>
        </w:rPr>
        <w:t xml:space="preserve">.   </w:t>
      </w:r>
    </w:p>
    <w:p w14:paraId="5569FAC3" w14:textId="77777777" w:rsidR="002A02EF" w:rsidRDefault="002A02EF">
      <w:pPr>
        <w:rPr>
          <w:sz w:val="28"/>
          <w:szCs w:val="28"/>
        </w:rPr>
      </w:pPr>
    </w:p>
    <w:p w14:paraId="5DC60053" w14:textId="77777777" w:rsidR="002A02EF" w:rsidRDefault="002A02EF">
      <w:pPr>
        <w:rPr>
          <w:sz w:val="28"/>
          <w:szCs w:val="28"/>
        </w:rPr>
      </w:pPr>
    </w:p>
    <w:p w14:paraId="1007692A" w14:textId="77777777" w:rsidR="002A02EF" w:rsidRDefault="009219C0">
      <w:pPr>
        <w:rPr>
          <w:sz w:val="28"/>
          <w:szCs w:val="28"/>
        </w:rPr>
      </w:pPr>
      <w:r>
        <w:rPr>
          <w:noProof/>
          <w:sz w:val="28"/>
          <w:szCs w:val="28"/>
        </w:rPr>
        <w:drawing>
          <wp:inline distT="114300" distB="114300" distL="114300" distR="114300" wp14:anchorId="7FBA98AA" wp14:editId="347FC13F">
            <wp:extent cx="6167438" cy="5172075"/>
            <wp:effectExtent l="0" t="0" r="0" 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6167438" cy="5172075"/>
                    </a:xfrm>
                    <a:prstGeom prst="rect">
                      <a:avLst/>
                    </a:prstGeom>
                    <a:ln/>
                  </pic:spPr>
                </pic:pic>
              </a:graphicData>
            </a:graphic>
          </wp:inline>
        </w:drawing>
      </w:r>
    </w:p>
    <w:p w14:paraId="075A3126" w14:textId="77777777" w:rsidR="002A02EF" w:rsidRDefault="009219C0">
      <w:pPr>
        <w:numPr>
          <w:ilvl w:val="0"/>
          <w:numId w:val="2"/>
        </w:numPr>
        <w:rPr>
          <w:b/>
          <w:sz w:val="28"/>
          <w:szCs w:val="28"/>
        </w:rPr>
      </w:pPr>
      <w:r>
        <w:rPr>
          <w:b/>
          <w:sz w:val="28"/>
          <w:szCs w:val="28"/>
        </w:rPr>
        <w:t xml:space="preserve"> Liability Schedule</w:t>
      </w:r>
    </w:p>
    <w:p w14:paraId="2A1C3DD2" w14:textId="77777777" w:rsidR="002A02EF" w:rsidRDefault="002A02EF">
      <w:pPr>
        <w:rPr>
          <w:b/>
          <w:sz w:val="28"/>
          <w:szCs w:val="28"/>
        </w:rPr>
      </w:pPr>
    </w:p>
    <w:p w14:paraId="187C71EA" w14:textId="77777777" w:rsidR="002A02EF" w:rsidRDefault="009219C0">
      <w:pPr>
        <w:rPr>
          <w:sz w:val="28"/>
          <w:szCs w:val="28"/>
        </w:rPr>
      </w:pPr>
      <w:r>
        <w:rPr>
          <w:sz w:val="28"/>
          <w:szCs w:val="28"/>
        </w:rPr>
        <w:t>This report will show the liability schedule for all your client’s loans and mortgages.   When you are modifying a mortgage payment or paying a home off from a sale or an inheritance, you will be able</w:t>
      </w:r>
      <w:r>
        <w:rPr>
          <w:sz w:val="28"/>
          <w:szCs w:val="28"/>
        </w:rPr>
        <w:t xml:space="preserve"> to determine the payout amount from this report.     In this example, the Kennedy’s were selling their house and the report was accessed to determine the mortgage payout on the date of sale.     This report can be located by clicking on Quick Actions, Net</w:t>
      </w:r>
      <w:r>
        <w:rPr>
          <w:sz w:val="28"/>
          <w:szCs w:val="28"/>
        </w:rPr>
        <w:t xml:space="preserve"> Worth, Liabilities, Liability Schedule</w:t>
      </w:r>
    </w:p>
    <w:p w14:paraId="792AE290" w14:textId="77777777" w:rsidR="002A02EF" w:rsidRDefault="002A02EF">
      <w:pPr>
        <w:rPr>
          <w:sz w:val="28"/>
          <w:szCs w:val="28"/>
        </w:rPr>
      </w:pPr>
    </w:p>
    <w:p w14:paraId="7D42B63B" w14:textId="77777777" w:rsidR="002A02EF" w:rsidRDefault="009219C0">
      <w:pPr>
        <w:rPr>
          <w:sz w:val="28"/>
          <w:szCs w:val="28"/>
        </w:rPr>
      </w:pPr>
      <w:r>
        <w:rPr>
          <w:noProof/>
          <w:sz w:val="28"/>
          <w:szCs w:val="28"/>
        </w:rPr>
        <w:drawing>
          <wp:inline distT="114300" distB="114300" distL="114300" distR="114300" wp14:anchorId="242561BC" wp14:editId="49232697">
            <wp:extent cx="5448300" cy="5181600"/>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5448300" cy="5181600"/>
                    </a:xfrm>
                    <a:prstGeom prst="rect">
                      <a:avLst/>
                    </a:prstGeom>
                    <a:ln/>
                  </pic:spPr>
                </pic:pic>
              </a:graphicData>
            </a:graphic>
          </wp:inline>
        </w:drawing>
      </w:r>
    </w:p>
    <w:p w14:paraId="0355E275" w14:textId="77777777" w:rsidR="002A02EF" w:rsidRDefault="002A02EF">
      <w:pPr>
        <w:rPr>
          <w:sz w:val="28"/>
          <w:szCs w:val="28"/>
        </w:rPr>
      </w:pPr>
    </w:p>
    <w:p w14:paraId="10DD6112" w14:textId="77777777" w:rsidR="002A02EF" w:rsidRDefault="002A02EF">
      <w:pPr>
        <w:rPr>
          <w:sz w:val="28"/>
          <w:szCs w:val="28"/>
        </w:rPr>
      </w:pPr>
    </w:p>
    <w:p w14:paraId="17E1BCB8" w14:textId="77777777" w:rsidR="002A02EF" w:rsidRDefault="009219C0">
      <w:pPr>
        <w:rPr>
          <w:sz w:val="28"/>
          <w:szCs w:val="28"/>
        </w:rPr>
      </w:pPr>
      <w:r>
        <w:rPr>
          <w:sz w:val="28"/>
          <w:szCs w:val="28"/>
        </w:rPr>
        <w:t>There are many other helpful reports available in the Quick Action Section.     The quick action tab is an excellent tool for verifying information as well presenting specific information to your clients.     Fe</w:t>
      </w:r>
      <w:r>
        <w:rPr>
          <w:sz w:val="28"/>
          <w:szCs w:val="28"/>
        </w:rPr>
        <w:t>el free to check out the many other reports available in this area!</w:t>
      </w:r>
    </w:p>
    <w:p w14:paraId="4A1195C4" w14:textId="77777777" w:rsidR="002A02EF" w:rsidRDefault="002A02EF">
      <w:pPr>
        <w:rPr>
          <w:sz w:val="28"/>
          <w:szCs w:val="28"/>
        </w:rPr>
      </w:pPr>
    </w:p>
    <w:p w14:paraId="1FAB5F84" w14:textId="77777777" w:rsidR="002A02EF" w:rsidRDefault="009219C0">
      <w:pPr>
        <w:rPr>
          <w:sz w:val="28"/>
          <w:szCs w:val="28"/>
        </w:rPr>
      </w:pPr>
      <w:r>
        <w:rPr>
          <w:sz w:val="28"/>
          <w:szCs w:val="28"/>
        </w:rPr>
        <w:t>Good luck and happy planning!!!!!</w:t>
      </w:r>
    </w:p>
    <w:p w14:paraId="0C7C003B" w14:textId="77777777" w:rsidR="002A02EF" w:rsidRDefault="002A02EF">
      <w:pPr>
        <w:rPr>
          <w:sz w:val="28"/>
          <w:szCs w:val="28"/>
        </w:rPr>
      </w:pPr>
    </w:p>
    <w:p w14:paraId="0C219088" w14:textId="77777777" w:rsidR="002A02EF" w:rsidRDefault="002A02EF">
      <w:pPr>
        <w:rPr>
          <w:sz w:val="28"/>
          <w:szCs w:val="28"/>
        </w:rPr>
      </w:pPr>
    </w:p>
    <w:p w14:paraId="7EB2749D" w14:textId="77777777" w:rsidR="002A02EF" w:rsidRDefault="009219C0">
      <w:pPr>
        <w:rPr>
          <w:sz w:val="28"/>
          <w:szCs w:val="28"/>
        </w:rPr>
      </w:pPr>
      <w:r>
        <w:rPr>
          <w:sz w:val="28"/>
          <w:szCs w:val="28"/>
        </w:rPr>
        <w:t>Sheldon Craig, CFP®</w:t>
      </w:r>
    </w:p>
    <w:p w14:paraId="1F30A89E" w14:textId="77777777" w:rsidR="002A02EF" w:rsidRDefault="009219C0">
      <w:pPr>
        <w:rPr>
          <w:sz w:val="28"/>
          <w:szCs w:val="28"/>
        </w:rPr>
      </w:pPr>
      <w:r>
        <w:rPr>
          <w:sz w:val="28"/>
          <w:szCs w:val="28"/>
        </w:rPr>
        <w:t>Regional Manager</w:t>
      </w:r>
    </w:p>
    <w:p w14:paraId="28C1795C" w14:textId="77777777" w:rsidR="002A02EF" w:rsidRDefault="009219C0">
      <w:pPr>
        <w:rPr>
          <w:sz w:val="28"/>
          <w:szCs w:val="28"/>
        </w:rPr>
      </w:pPr>
      <w:hyperlink r:id="rId16">
        <w:r>
          <w:rPr>
            <w:color w:val="1155CC"/>
            <w:sz w:val="28"/>
            <w:szCs w:val="28"/>
            <w:u w:val="single"/>
          </w:rPr>
          <w:t>scraig@cuwealth.ca</w:t>
        </w:r>
      </w:hyperlink>
    </w:p>
    <w:p w14:paraId="21598E99" w14:textId="77777777" w:rsidR="002A02EF" w:rsidRDefault="009219C0">
      <w:pPr>
        <w:rPr>
          <w:sz w:val="28"/>
          <w:szCs w:val="28"/>
        </w:rPr>
      </w:pPr>
      <w:r>
        <w:rPr>
          <w:sz w:val="28"/>
          <w:szCs w:val="28"/>
        </w:rPr>
        <w:t xml:space="preserve">CUSO Wealth Strategies Inc. </w:t>
      </w:r>
    </w:p>
    <w:p w14:paraId="03C044B3" w14:textId="77777777" w:rsidR="002A02EF" w:rsidRDefault="002A02EF"/>
    <w:p w14:paraId="02183496" w14:textId="77777777" w:rsidR="002A02EF" w:rsidRDefault="002A02EF"/>
    <w:p w14:paraId="75A622C0" w14:textId="77777777" w:rsidR="002A02EF" w:rsidRDefault="002A02EF"/>
    <w:p w14:paraId="01900BCE" w14:textId="77777777" w:rsidR="002A02EF" w:rsidRDefault="002A02EF"/>
    <w:p w14:paraId="0E217F2F" w14:textId="77777777" w:rsidR="002A02EF" w:rsidRDefault="002A02EF"/>
    <w:p w14:paraId="3618DB09" w14:textId="77777777" w:rsidR="002A02EF" w:rsidRDefault="002A02EF"/>
    <w:sectPr w:rsidR="002A02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70298"/>
    <w:multiLevelType w:val="multilevel"/>
    <w:tmpl w:val="7AD0F0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2802294"/>
    <w:multiLevelType w:val="multilevel"/>
    <w:tmpl w:val="9B9E6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567710C"/>
    <w:multiLevelType w:val="multilevel"/>
    <w:tmpl w:val="3E4A2E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30685742">
    <w:abstractNumId w:val="0"/>
  </w:num>
  <w:num w:numId="2" w16cid:durableId="612981937">
    <w:abstractNumId w:val="2"/>
  </w:num>
  <w:num w:numId="3" w16cid:durableId="1436052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2EF"/>
    <w:rsid w:val="00001B84"/>
    <w:rsid w:val="002A02EF"/>
    <w:rsid w:val="008D4A91"/>
    <w:rsid w:val="009219C0"/>
    <w:rsid w:val="00941D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2668202"/>
  <w15:docId w15:val="{8B6FB27E-1E7C-9B47-B2D1-BA86323C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craig@cuwealth.ca"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731</Words>
  <Characters>4167</Characters>
  <Application>Microsoft Office Word</Application>
  <DocSecurity>0</DocSecurity>
  <Lines>34</Lines>
  <Paragraphs>9</Paragraphs>
  <ScaleCrop>false</ScaleCrop>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Sheldon Craig</cp:lastModifiedBy>
  <cp:revision>2</cp:revision>
  <dcterms:created xsi:type="dcterms:W3CDTF">2022-09-18T23:00:00Z</dcterms:created>
  <dcterms:modified xsi:type="dcterms:W3CDTF">2022-09-18T23:00:00Z</dcterms:modified>
</cp:coreProperties>
</file>